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Na osnovu člana 19. stav 2. Zakona o Vladi Federacije Bosne i Hercegovine ("Službene novine Federacije BiH", br. 1/94, 8/95, 58/02, 19/03 i 2/06), Vlada Federacije Bosne i Hercegovine,  donosi</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UREDBU</w:t>
      </w:r>
      <w:r w:rsidRPr="009C1F6C">
        <w:rPr>
          <w:rFonts w:ascii="Trebuchet MS" w:eastAsia="Times New Roman" w:hAnsi="Trebuchet MS" w:cs="Times New Roman"/>
          <w:color w:val="333333"/>
          <w:sz w:val="15"/>
          <w:szCs w:val="15"/>
          <w:lang w:eastAsia="bs-Latn-BA"/>
        </w:rPr>
        <w:br/>
      </w:r>
      <w:r w:rsidRPr="009C1F6C">
        <w:rPr>
          <w:rFonts w:ascii="Trebuchet MS" w:eastAsia="Times New Roman" w:hAnsi="Trebuchet MS" w:cs="Times New Roman"/>
          <w:b/>
          <w:bCs/>
          <w:color w:val="333333"/>
          <w:sz w:val="15"/>
          <w:lang w:eastAsia="bs-Latn-BA"/>
        </w:rPr>
        <w:t>O OBEZBJEĐENJU SREDSTAVA ZA NABAVKU PUTNIČKIH AUTOMOBILA RATNIM VOJNIM INVALIDIMA 100% PRVE GRUPE</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1.</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Ovom Uredbom utvrđuju se kriteriji i način obezbjeđenja sredstava za nabavku putničkih automobila ratnim vojnim invalidima 100% prve grupe, vrsta putničkog automobila i druga pitanja od značaja za korištenje po ovom osnovu nabavljenog putničkog automobila.</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2.</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Pravo na ozbjeđenje sredstava za nabavku putničkog automobila imaju ratni vojni invalidi pripadnici Oružanih snaga (Armije RBiH, MUP-a i HVO-a), kojima je pravosnažnim rješenjem priznato svojstvo ratnog vojnog invalida 100% prve grupe, koji imaju prebivalište i stalno žive na teritoriji Bosne i Hercegovine.</w:t>
      </w:r>
      <w:r w:rsidRPr="009C1F6C">
        <w:rPr>
          <w:rFonts w:ascii="Trebuchet MS" w:eastAsia="Times New Roman" w:hAnsi="Trebuchet MS" w:cs="Times New Roman"/>
          <w:color w:val="333333"/>
          <w:sz w:val="15"/>
          <w:szCs w:val="15"/>
          <w:lang w:eastAsia="bs-Latn-BA"/>
        </w:rPr>
        <w:br/>
        <w:t>Pravo iz stava 1. ovog člana  mogu ostvariti ratni vojni invalidi koji do stupanja na snagu ove Uredbe nisu po bilo kom drugom osnovu dobili putnički automobil ili sredstva za nabavku putničkog automobila, od bilo kog drugog civilnog ili vojnog organa u poslednjih sedam godina.</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3.</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Listu kandidata za obezbjeđenje sredstava za nabavku putničkog automobila, u skladu sa kriterijima iz ove Uredbe, sačinjava Federalno ministarstvo za pitanja boraca i invalida odbrambeno-oslobodilačkog rata/Federalno ministarstvo za pitanja branitelja i invalida domovinskog rata (u daljem tesktu: Federalno ministarstvo), na osnovu podataka kantonalnih ministarstava i uprava nadležnih za boračko-invalidsku zaštitu a u skladu sa raspoloživim budžetskim sredstvima u tekućoj godini i vodeći računa o teritorijalnoj zastupljenosti korisnika ovih sredstava.</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4.</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Prioritet za obezbjeđenje sredstava za nabavku putničkog automobila, ukoliko su ispunjeni uslovi iz ove Uredbe, imaju ratni vojni invalidi 100% prve grupe koji do sada nikada nisu dobili putnički automobil, a zatim paraplegičari i invalidi sa potpunim gubitkom vida na oba oka.</w:t>
      </w:r>
      <w:r w:rsidRPr="009C1F6C">
        <w:rPr>
          <w:rFonts w:ascii="Trebuchet MS" w:eastAsia="Times New Roman" w:hAnsi="Trebuchet MS" w:cs="Times New Roman"/>
          <w:color w:val="333333"/>
          <w:sz w:val="15"/>
          <w:szCs w:val="15"/>
          <w:lang w:eastAsia="bs-Latn-BA"/>
        </w:rPr>
        <w:br/>
        <w:t>Preuzimanje automobila vrši se samo lično.</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5.</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Predmet obezbjeđenja sredstava, u smislu ove Uredbe je nabavka putničkog automobila (karavan) sa standarnom opremom i slijedećim tehničkim karakteristikama:</w:t>
      </w:r>
    </w:p>
    <w:tbl>
      <w:tblPr>
        <w:tblW w:w="0" w:type="auto"/>
        <w:tblCellSpacing w:w="0" w:type="dxa"/>
        <w:tblCellMar>
          <w:top w:w="15" w:type="dxa"/>
          <w:left w:w="15" w:type="dxa"/>
          <w:bottom w:w="15" w:type="dxa"/>
          <w:right w:w="15" w:type="dxa"/>
        </w:tblCellMar>
        <w:tblLook w:val="04A0"/>
      </w:tblPr>
      <w:tblGrid>
        <w:gridCol w:w="2400"/>
        <w:gridCol w:w="6120"/>
      </w:tblGrid>
      <w:tr w:rsidR="009C1F6C" w:rsidRPr="009C1F6C" w:rsidTr="009C1F6C">
        <w:trPr>
          <w:tblCellSpacing w:w="0" w:type="dxa"/>
        </w:trPr>
        <w:tc>
          <w:tcPr>
            <w:tcW w:w="240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Motor</w:t>
            </w:r>
          </w:p>
        </w:tc>
        <w:tc>
          <w:tcPr>
            <w:tcW w:w="612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- 1,4   55 KW (A) benzinac</w:t>
            </w:r>
          </w:p>
        </w:tc>
      </w:tr>
      <w:tr w:rsidR="009C1F6C" w:rsidRPr="009C1F6C" w:rsidTr="009C1F6C">
        <w:trPr>
          <w:tblCellSpacing w:w="0" w:type="dxa"/>
        </w:trPr>
        <w:tc>
          <w:tcPr>
            <w:tcW w:w="240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Obujam (cm3)</w:t>
            </w:r>
          </w:p>
        </w:tc>
        <w:tc>
          <w:tcPr>
            <w:tcW w:w="612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- 1390 cm3</w:t>
            </w:r>
          </w:p>
        </w:tc>
      </w:tr>
      <w:tr w:rsidR="009C1F6C" w:rsidRPr="009C1F6C" w:rsidTr="009C1F6C">
        <w:trPr>
          <w:tblCellSpacing w:w="0" w:type="dxa"/>
        </w:trPr>
        <w:tc>
          <w:tcPr>
            <w:tcW w:w="240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Mjenjač</w:t>
            </w:r>
          </w:p>
        </w:tc>
        <w:tc>
          <w:tcPr>
            <w:tcW w:w="612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 Automatski 4-stupanjski s´ fuzzy-logic sustavom</w:t>
            </w:r>
          </w:p>
        </w:tc>
      </w:tr>
      <w:tr w:rsidR="009C1F6C" w:rsidRPr="009C1F6C" w:rsidTr="009C1F6C">
        <w:trPr>
          <w:tblCellSpacing w:w="0" w:type="dxa"/>
        </w:trPr>
        <w:tc>
          <w:tcPr>
            <w:tcW w:w="240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Karoserija</w:t>
            </w:r>
          </w:p>
        </w:tc>
        <w:tc>
          <w:tcPr>
            <w:tcW w:w="612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- 5 sjedala, 5 vrata, 2 dijela</w:t>
            </w:r>
          </w:p>
        </w:tc>
      </w:tr>
      <w:tr w:rsidR="009C1F6C" w:rsidRPr="009C1F6C" w:rsidTr="009C1F6C">
        <w:trPr>
          <w:tblCellSpacing w:w="0" w:type="dxa"/>
        </w:trPr>
        <w:tc>
          <w:tcPr>
            <w:tcW w:w="240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Upravljač</w:t>
            </w:r>
          </w:p>
        </w:tc>
        <w:tc>
          <w:tcPr>
            <w:tcW w:w="612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 direktno upravljanje zupčastom letvom s´ elektromehaničkim servo upravljačem</w:t>
            </w:r>
          </w:p>
        </w:tc>
      </w:tr>
      <w:tr w:rsidR="009C1F6C" w:rsidRPr="009C1F6C" w:rsidTr="009C1F6C">
        <w:trPr>
          <w:tblCellSpacing w:w="0" w:type="dxa"/>
        </w:trPr>
        <w:tc>
          <w:tcPr>
            <w:tcW w:w="240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Unutrašnje dimenzije</w:t>
            </w:r>
          </w:p>
        </w:tc>
        <w:tc>
          <w:tcPr>
            <w:tcW w:w="6120" w:type="dxa"/>
            <w:hideMark/>
          </w:tcPr>
          <w:p w:rsidR="009C1F6C" w:rsidRPr="009C1F6C" w:rsidRDefault="009C1F6C" w:rsidP="009C1F6C">
            <w:pPr>
              <w:spacing w:before="100" w:beforeAutospacing="1" w:after="100" w:afterAutospacing="1" w:line="240" w:lineRule="auto"/>
              <w:rPr>
                <w:rFonts w:ascii="Times New Roman" w:eastAsia="Times New Roman" w:hAnsi="Times New Roman" w:cs="Times New Roman"/>
                <w:sz w:val="24"/>
                <w:szCs w:val="24"/>
                <w:lang w:eastAsia="bs-Latn-BA"/>
              </w:rPr>
            </w:pPr>
            <w:r w:rsidRPr="009C1F6C">
              <w:rPr>
                <w:rFonts w:ascii="Times New Roman" w:eastAsia="Times New Roman" w:hAnsi="Times New Roman" w:cs="Times New Roman"/>
                <w:sz w:val="24"/>
                <w:szCs w:val="24"/>
                <w:lang w:eastAsia="bs-Latn-BA"/>
              </w:rPr>
              <w:t>- mjere konfora naprijed min. 860 mm.</w:t>
            </w:r>
            <w:r w:rsidRPr="009C1F6C">
              <w:rPr>
                <w:rFonts w:ascii="Times New Roman" w:eastAsia="Times New Roman" w:hAnsi="Times New Roman" w:cs="Times New Roman"/>
                <w:sz w:val="24"/>
                <w:szCs w:val="24"/>
                <w:lang w:eastAsia="bs-Latn-BA"/>
              </w:rPr>
              <w:br/>
              <w:t>- bočni prostor naprijed 1380 mm</w:t>
            </w:r>
            <w:r w:rsidRPr="009C1F6C">
              <w:rPr>
                <w:rFonts w:ascii="Times New Roman" w:eastAsia="Times New Roman" w:hAnsi="Times New Roman" w:cs="Times New Roman"/>
                <w:sz w:val="24"/>
                <w:szCs w:val="24"/>
                <w:lang w:eastAsia="bs-Latn-BA"/>
              </w:rPr>
              <w:br/>
              <w:t>- prtljažnik s´podigutim stražnjim sjedalom 426 lit, </w:t>
            </w:r>
            <w:r w:rsidRPr="009C1F6C">
              <w:rPr>
                <w:rFonts w:ascii="Times New Roman" w:eastAsia="Times New Roman" w:hAnsi="Times New Roman" w:cs="Times New Roman"/>
                <w:sz w:val="24"/>
                <w:szCs w:val="24"/>
                <w:lang w:eastAsia="bs-Latn-BA"/>
              </w:rPr>
              <w:br/>
              <w:t>sa spuštenim stražnjim sjedalom 1225 lit.</w:t>
            </w:r>
          </w:p>
        </w:tc>
      </w:tr>
    </w:tbl>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6.</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Lice za koje su obezbjeđena sredstva za nabavku putničkog automobila, dužno je automobil koristiti za svoje potrebe i ne može ga otuđiti u periodu od sedam godina.</w:t>
      </w:r>
      <w:r w:rsidRPr="009C1F6C">
        <w:rPr>
          <w:rFonts w:ascii="Trebuchet MS" w:eastAsia="Times New Roman" w:hAnsi="Trebuchet MS" w:cs="Times New Roman"/>
          <w:color w:val="333333"/>
          <w:sz w:val="15"/>
          <w:szCs w:val="15"/>
          <w:lang w:eastAsia="bs-Latn-BA"/>
        </w:rPr>
        <w:br/>
        <w:t>O dodjeli sredstava za kupovinu automobila iz člana 5. ove Uredbe, Federalno ministarstvo zaključuje ugovor sa korisnikom sredstava, kojim se precizira vrsta i tip putničkog automobila, broj motora i šasije, godina proizvodnje, broj lične karte i jedinstveni matični broj lica za koje se obezbjeđuju sredstva za kupovinu putničkog automobila, kao i prava i obaveze ugovornih strana.</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lastRenderedPageBreak/>
        <w:t>Član 7.</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Obezbjeđenje sredstava za nabavku putničkih automobila iz člana 5. ove Uredbe vršit će se u Budžetu Federacije Bosne i Hercegovine u visini od najmanje 0.15 % (nulapetnaestposto) ukupnog Budžeta Federacije Bosne i Hercegovine za tekuću godinu, jednokratno, svake godine do završetka ovog kruga obezbjeđenja sredstava za ovu namjenu.</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8.</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Lice iz člana 2. ove Uredbe ne može po istom osnovu koristiti carinske i porezne povlastice prilikom nabavke putničkog automobila iz člana 5. ove Uredbe i kupovine drugog putničkog automobila, u periodu koji je regulisan važećim propisima.</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9.</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Federalno ministarstvo je dužno informisati Vladu Federacije Bosne i Hercegovine o provođenju ove Uredbe najmanje jedanput godišnje.</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10.</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Za realizaciju ove Uredbe zadužuju se Federalno ministarstvo i Federalno ministarstvo finansija/Federalno ministarstvo financija, svako u okviru svoje nadležnosti.</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11.</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Danom stupanja na snagu ove Uredbe prestaje važiti Odluka o kriterijima i načinu dodjele putničkih automobila ratnim vojnim invalidima  100% prve grupe ("Službene novine Federacije BiH", br. 14/02).</w:t>
      </w:r>
    </w:p>
    <w:p w:rsidR="009C1F6C" w:rsidRPr="009C1F6C" w:rsidRDefault="009C1F6C" w:rsidP="009C1F6C">
      <w:pPr>
        <w:spacing w:before="100" w:beforeAutospacing="1" w:after="100" w:afterAutospacing="1" w:line="240" w:lineRule="auto"/>
        <w:jc w:val="center"/>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Član 12.</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Ova Uredba stupa na snagu narednog dana od dana objavljivanja u "Službenim novinama Federacije BiH".</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color w:val="333333"/>
          <w:sz w:val="15"/>
          <w:szCs w:val="15"/>
          <w:lang w:eastAsia="bs-Latn-BA"/>
        </w:rPr>
        <w:t> </w:t>
      </w:r>
    </w:p>
    <w:p w:rsidR="009C1F6C" w:rsidRPr="009C1F6C" w:rsidRDefault="009C1F6C" w:rsidP="009C1F6C">
      <w:pPr>
        <w:spacing w:before="100" w:beforeAutospacing="1" w:after="100" w:afterAutospacing="1" w:line="240" w:lineRule="auto"/>
        <w:rPr>
          <w:rFonts w:ascii="Trebuchet MS" w:eastAsia="Times New Roman" w:hAnsi="Trebuchet MS" w:cs="Times New Roman"/>
          <w:color w:val="333333"/>
          <w:sz w:val="15"/>
          <w:szCs w:val="15"/>
          <w:lang w:eastAsia="bs-Latn-BA"/>
        </w:rPr>
      </w:pPr>
      <w:r w:rsidRPr="009C1F6C">
        <w:rPr>
          <w:rFonts w:ascii="Trebuchet MS" w:eastAsia="Times New Roman" w:hAnsi="Trebuchet MS" w:cs="Times New Roman"/>
          <w:b/>
          <w:bCs/>
          <w:color w:val="333333"/>
          <w:sz w:val="15"/>
          <w:lang w:eastAsia="bs-Latn-BA"/>
        </w:rPr>
        <w:t>Premijer</w:t>
      </w:r>
      <w:r w:rsidRPr="009C1F6C">
        <w:rPr>
          <w:rFonts w:ascii="Trebuchet MS" w:eastAsia="Times New Roman" w:hAnsi="Trebuchet MS" w:cs="Times New Roman"/>
          <w:b/>
          <w:bCs/>
          <w:color w:val="333333"/>
          <w:sz w:val="15"/>
          <w:szCs w:val="15"/>
          <w:lang w:eastAsia="bs-Latn-BA"/>
        </w:rPr>
        <w:br/>
      </w:r>
      <w:r w:rsidRPr="009C1F6C">
        <w:rPr>
          <w:rFonts w:ascii="Trebuchet MS" w:eastAsia="Times New Roman" w:hAnsi="Trebuchet MS" w:cs="Times New Roman"/>
          <w:b/>
          <w:bCs/>
          <w:color w:val="333333"/>
          <w:sz w:val="15"/>
          <w:lang w:eastAsia="bs-Latn-BA"/>
        </w:rPr>
        <w:t>dr. Ahmet Hadžipašić</w:t>
      </w:r>
      <w:r w:rsidRPr="009C1F6C">
        <w:rPr>
          <w:rFonts w:ascii="Trebuchet MS" w:eastAsia="Times New Roman" w:hAnsi="Trebuchet MS" w:cs="Times New Roman"/>
          <w:color w:val="333333"/>
          <w:sz w:val="15"/>
          <w:szCs w:val="15"/>
          <w:lang w:eastAsia="bs-Latn-BA"/>
        </w:rPr>
        <w:br/>
      </w:r>
      <w:r w:rsidRPr="009C1F6C">
        <w:rPr>
          <w:rFonts w:ascii="Trebuchet MS" w:eastAsia="Times New Roman" w:hAnsi="Trebuchet MS" w:cs="Times New Roman"/>
          <w:color w:val="333333"/>
          <w:sz w:val="15"/>
          <w:szCs w:val="15"/>
          <w:lang w:eastAsia="bs-Latn-BA"/>
        </w:rPr>
        <w:br/>
        <w:t>Sarajevo, 2006. godine     </w:t>
      </w:r>
    </w:p>
    <w:p w:rsidR="00A30918" w:rsidRDefault="00A30918"/>
    <w:sectPr w:rsidR="00A30918" w:rsidSect="00A309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C1F6C"/>
    <w:rsid w:val="009C1F6C"/>
    <w:rsid w:val="00A3091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F6C"/>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9C1F6C"/>
    <w:rPr>
      <w:b/>
      <w:bCs/>
    </w:rPr>
  </w:style>
  <w:style w:type="character" w:customStyle="1" w:styleId="apple-converted-space">
    <w:name w:val="apple-converted-space"/>
    <w:basedOn w:val="DefaultParagraphFont"/>
    <w:rsid w:val="009C1F6C"/>
  </w:style>
</w:styles>
</file>

<file path=word/webSettings.xml><?xml version="1.0" encoding="utf-8"?>
<w:webSettings xmlns:r="http://schemas.openxmlformats.org/officeDocument/2006/relationships" xmlns:w="http://schemas.openxmlformats.org/wordprocessingml/2006/main">
  <w:divs>
    <w:div w:id="5716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2014-02-27T13:20:00Z</dcterms:created>
  <dcterms:modified xsi:type="dcterms:W3CDTF">2014-02-27T13:20:00Z</dcterms:modified>
</cp:coreProperties>
</file>